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8737" w14:textId="77777777" w:rsidR="005F701E" w:rsidRPr="005F701E" w:rsidRDefault="005F701E" w:rsidP="005F701E">
      <w:pPr>
        <w:rPr>
          <w:rFonts w:ascii="Times New Roman" w:eastAsia="Times New Roman" w:hAnsi="Times New Roman" w:cs="Times New Roman"/>
          <w:lang w:eastAsia="fr-FR"/>
        </w:rPr>
      </w:pPr>
    </w:p>
    <w:tbl>
      <w:tblPr>
        <w:tblW w:w="5000" w:type="pct"/>
        <w:tblCellSpacing w:w="0" w:type="dxa"/>
        <w:shd w:val="clear" w:color="auto" w:fill="E4E4E4"/>
        <w:tblCellMar>
          <w:left w:w="0" w:type="dxa"/>
          <w:right w:w="0" w:type="dxa"/>
        </w:tblCellMar>
        <w:tblLook w:val="04A0" w:firstRow="1" w:lastRow="0" w:firstColumn="1" w:lastColumn="0" w:noHBand="0" w:noVBand="1"/>
      </w:tblPr>
      <w:tblGrid>
        <w:gridCol w:w="9072"/>
      </w:tblGrid>
      <w:tr w:rsidR="005F701E" w:rsidRPr="005F701E" w14:paraId="7100875D" w14:textId="77777777" w:rsidTr="005F701E">
        <w:trPr>
          <w:tblCellSpacing w:w="0" w:type="dxa"/>
        </w:trPr>
        <w:tc>
          <w:tcPr>
            <w:tcW w:w="5000" w:type="pct"/>
            <w:shd w:val="clear" w:color="auto" w:fill="E4E4E4"/>
            <w:vAlign w:val="center"/>
            <w:hideMark/>
          </w:tcPr>
          <w:tbl>
            <w:tblPr>
              <w:tblW w:w="9730" w:type="dxa"/>
              <w:jc w:val="center"/>
              <w:tblCellSpacing w:w="0" w:type="dxa"/>
              <w:tblCellMar>
                <w:left w:w="0" w:type="dxa"/>
                <w:right w:w="0" w:type="dxa"/>
              </w:tblCellMar>
              <w:tblLook w:val="04A0" w:firstRow="1" w:lastRow="0" w:firstColumn="1" w:lastColumn="0" w:noHBand="0" w:noVBand="1"/>
            </w:tblPr>
            <w:tblGrid>
              <w:gridCol w:w="9072"/>
            </w:tblGrid>
            <w:tr w:rsidR="005F701E" w:rsidRPr="005F701E" w14:paraId="34D647C6" w14:textId="77777777">
              <w:trPr>
                <w:tblCellSpacing w:w="0" w:type="dxa"/>
                <w:jc w:val="center"/>
              </w:trPr>
              <w:tc>
                <w:tcPr>
                  <w:tcW w:w="9730" w:type="dxa"/>
                  <w:vAlign w:val="center"/>
                  <w:hideMark/>
                </w:tcPr>
                <w:tbl>
                  <w:tblPr>
                    <w:tblW w:w="9730" w:type="dxa"/>
                    <w:tblCellSpacing w:w="0" w:type="dxa"/>
                    <w:shd w:val="clear" w:color="auto" w:fill="FFFFFF"/>
                    <w:tblCellMar>
                      <w:left w:w="0" w:type="dxa"/>
                      <w:right w:w="0" w:type="dxa"/>
                    </w:tblCellMar>
                    <w:tblLook w:val="04A0" w:firstRow="1" w:lastRow="0" w:firstColumn="1" w:lastColumn="0" w:noHBand="0" w:noVBand="1"/>
                  </w:tblPr>
                  <w:tblGrid>
                    <w:gridCol w:w="9730"/>
                  </w:tblGrid>
                  <w:tr w:rsidR="005F701E" w:rsidRPr="005F701E" w14:paraId="0745E0D1" w14:textId="77777777">
                    <w:trPr>
                      <w:tblCellSpacing w:w="0" w:type="dxa"/>
                    </w:trPr>
                    <w:tc>
                      <w:tcPr>
                        <w:tcW w:w="0" w:type="auto"/>
                        <w:shd w:val="clear" w:color="auto" w:fill="FFFFFF"/>
                        <w:tcMar>
                          <w:top w:w="75" w:type="dxa"/>
                          <w:left w:w="525" w:type="dxa"/>
                          <w:bottom w:w="375" w:type="dxa"/>
                          <w:right w:w="525" w:type="dxa"/>
                        </w:tcMar>
                        <w:vAlign w:val="center"/>
                        <w:hideMark/>
                      </w:tcPr>
                      <w:p w14:paraId="60E2EB40" w14:textId="77777777" w:rsidR="005F701E" w:rsidRPr="005F701E" w:rsidRDefault="005F701E" w:rsidP="005F701E">
                        <w:pPr>
                          <w:jc w:val="right"/>
                          <w:rPr>
                            <w:rFonts w:ascii="Calibri" w:eastAsia="Times New Roman" w:hAnsi="Calibri" w:cs="Calibri"/>
                            <w:sz w:val="22"/>
                            <w:szCs w:val="22"/>
                            <w:lang w:val="en-US" w:eastAsia="fr-FR"/>
                          </w:rPr>
                        </w:pPr>
                        <w:r w:rsidRPr="005F701E">
                          <w:rPr>
                            <w:rFonts w:ascii="Calibri" w:eastAsia="Times New Roman" w:hAnsi="Calibri" w:cs="Calibri"/>
                            <w:b/>
                            <w:bCs/>
                            <w:color w:val="5B9BD5"/>
                            <w:sz w:val="36"/>
                            <w:szCs w:val="36"/>
                            <w:lang w:val="en-US" w:eastAsia="fr-FR"/>
                          </w:rPr>
                          <w:t> </w:t>
                        </w:r>
                      </w:p>
                      <w:p w14:paraId="7C67D4F5" w14:textId="3D9EE279" w:rsidR="005F701E" w:rsidRPr="005F701E" w:rsidRDefault="005F701E" w:rsidP="005F701E">
                        <w:pPr>
                          <w:jc w:val="center"/>
                          <w:rPr>
                            <w:rFonts w:ascii="Calibri" w:eastAsia="Times New Roman" w:hAnsi="Calibri" w:cs="Calibri"/>
                            <w:sz w:val="22"/>
                            <w:szCs w:val="22"/>
                            <w:lang w:val="en-US" w:eastAsia="fr-FR"/>
                          </w:rPr>
                        </w:pPr>
                        <w:r>
                          <w:rPr>
                            <w:rFonts w:ascii="Calibri" w:eastAsia="Times New Roman" w:hAnsi="Calibri" w:cs="Calibri"/>
                            <w:b/>
                            <w:bCs/>
                            <w:color w:val="5B9BD5"/>
                            <w:sz w:val="36"/>
                            <w:szCs w:val="36"/>
                            <w:lang w:val="en-US" w:eastAsia="fr-FR"/>
                          </w:rPr>
                          <w:t xml:space="preserve">                                                                                </w:t>
                        </w:r>
                        <w:r w:rsidR="00DC5BA3">
                          <w:rPr>
                            <w:rFonts w:ascii="Calibri" w:eastAsia="Times New Roman" w:hAnsi="Calibri" w:cs="Calibri"/>
                            <w:b/>
                            <w:bCs/>
                            <w:color w:val="5B9BD5"/>
                            <w:sz w:val="36"/>
                            <w:szCs w:val="36"/>
                            <w:lang w:val="en-US" w:eastAsia="fr-FR"/>
                          </w:rPr>
                          <w:t xml:space="preserve"> </w:t>
                        </w:r>
                        <w:r w:rsidRPr="005F701E">
                          <w:rPr>
                            <w:rFonts w:ascii="Calibri" w:eastAsia="Times New Roman" w:hAnsi="Calibri" w:cs="Calibri"/>
                            <w:b/>
                            <w:bCs/>
                            <w:color w:val="5B9BD5"/>
                            <w:sz w:val="36"/>
                            <w:szCs w:val="36"/>
                            <w:lang w:val="en-US" w:eastAsia="fr-FR"/>
                          </w:rPr>
                          <w:t>May 2023</w:t>
                        </w:r>
                        <w:r w:rsidRPr="005F701E">
                          <w:rPr>
                            <w:rFonts w:ascii="Calibri" w:eastAsia="Times New Roman" w:hAnsi="Calibri" w:cs="Calibri"/>
                            <w:color w:val="5B9BD5"/>
                            <w:sz w:val="22"/>
                            <w:szCs w:val="22"/>
                            <w:lang w:val="en-US" w:eastAsia="fr-FR"/>
                          </w:rPr>
                          <w:t> </w:t>
                        </w:r>
                      </w:p>
                      <w:p w14:paraId="3661AB9F" w14:textId="77777777" w:rsidR="005F701E" w:rsidRPr="005F701E" w:rsidRDefault="005F701E" w:rsidP="005F701E">
                        <w:pPr>
                          <w:spacing w:after="160" w:line="231" w:lineRule="atLeast"/>
                          <w:rPr>
                            <w:rFonts w:ascii="Calibri" w:eastAsia="Times New Roman" w:hAnsi="Calibri" w:cs="Calibri"/>
                            <w:sz w:val="22"/>
                            <w:szCs w:val="22"/>
                            <w:lang w:val="en-US" w:eastAsia="fr-FR"/>
                          </w:rPr>
                        </w:pPr>
                        <w:r w:rsidRPr="005F701E">
                          <w:rPr>
                            <w:rFonts w:ascii="Calibri" w:eastAsia="Times New Roman" w:hAnsi="Calibri" w:cs="Calibri"/>
                            <w:b/>
                            <w:bCs/>
                            <w:color w:val="ED7D31"/>
                            <w:sz w:val="36"/>
                            <w:szCs w:val="36"/>
                            <w:lang w:val="en-US" w:eastAsia="fr-FR"/>
                          </w:rPr>
                          <w:t>Welcome </w:t>
                        </w:r>
                      </w:p>
                      <w:p w14:paraId="5C01CCE6"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News and highlights keeping you informed as we work together to accelerate life-changing treatments for people with progressive MS </w:t>
                        </w:r>
                        <w:proofErr w:type="gramStart"/>
                        <w:r w:rsidRPr="005F701E">
                          <w:rPr>
                            <w:rFonts w:ascii="Calibri" w:eastAsia="Times New Roman" w:hAnsi="Calibri" w:cs="Calibri"/>
                            <w:color w:val="000000"/>
                            <w:sz w:val="22"/>
                            <w:szCs w:val="22"/>
                            <w:lang w:val="en-US" w:eastAsia="fr-FR"/>
                          </w:rPr>
                          <w:t>worldwide</w:t>
                        </w:r>
                        <w:proofErr w:type="gramEnd"/>
                      </w:p>
                      <w:p w14:paraId="4C1E8119"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16"/>
                            <w:szCs w:val="16"/>
                            <w:lang w:val="en-US" w:eastAsia="fr-FR"/>
                          </w:rPr>
                          <w:t> </w:t>
                        </w:r>
                      </w:p>
                      <w:p w14:paraId="494B8B5A"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color w:val="000000"/>
                            <w:sz w:val="32"/>
                            <w:szCs w:val="32"/>
                            <w:lang w:val="en-US" w:eastAsia="fr-FR"/>
                          </w:rPr>
                          <w:t>Alliance Announces New Global Research Initiative to Improve Well-Being as Part of World MS Day Campaign</w:t>
                        </w:r>
                      </w:p>
                      <w:p w14:paraId="722DCB6B"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color w:val="5B9BD5"/>
                            <w:sz w:val="28"/>
                            <w:szCs w:val="28"/>
                            <w:lang w:val="en-US" w:eastAsia="fr-FR"/>
                          </w:rPr>
                          <w:t xml:space="preserve">Initiative aims to drive research from early innovation to new programs of care that can be implemented </w:t>
                        </w:r>
                        <w:proofErr w:type="gramStart"/>
                        <w:r w:rsidRPr="005F701E">
                          <w:rPr>
                            <w:rFonts w:ascii="Calibri" w:eastAsia="Times New Roman" w:hAnsi="Calibri" w:cs="Calibri"/>
                            <w:b/>
                            <w:bCs/>
                            <w:color w:val="5B9BD5"/>
                            <w:sz w:val="28"/>
                            <w:szCs w:val="28"/>
                            <w:lang w:val="en-US" w:eastAsia="fr-FR"/>
                          </w:rPr>
                          <w:t>worldwide</w:t>
                        </w:r>
                        <w:proofErr w:type="gramEnd"/>
                      </w:p>
                      <w:p w14:paraId="61E1ABE6"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color w:val="000000"/>
                            <w:sz w:val="4"/>
                            <w:szCs w:val="4"/>
                            <w:lang w:val="en-US" w:eastAsia="fr-FR"/>
                          </w:rPr>
                          <w:t> </w:t>
                        </w:r>
                      </w:p>
                      <w:p w14:paraId="298C8347"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 xml:space="preserve">The International Progressive MS Alliance is launching a </w:t>
                        </w:r>
                        <w:proofErr w:type="gramStart"/>
                        <w:r w:rsidRPr="005F701E">
                          <w:rPr>
                            <w:rFonts w:ascii="Calibri" w:eastAsia="Times New Roman" w:hAnsi="Calibri" w:cs="Calibri"/>
                            <w:color w:val="000000"/>
                            <w:sz w:val="22"/>
                            <w:szCs w:val="22"/>
                            <w:lang w:val="en-US" w:eastAsia="fr-FR"/>
                          </w:rPr>
                          <w:t>large scale</w:t>
                        </w:r>
                        <w:proofErr w:type="gramEnd"/>
                        <w:r w:rsidRPr="005F701E">
                          <w:rPr>
                            <w:rFonts w:ascii="Calibri" w:eastAsia="Times New Roman" w:hAnsi="Calibri" w:cs="Calibri"/>
                            <w:color w:val="000000"/>
                            <w:sz w:val="22"/>
                            <w:szCs w:val="22"/>
                            <w:lang w:val="en-US" w:eastAsia="fr-FR"/>
                          </w:rPr>
                          <w:t xml:space="preserve"> research program to identify and implement solutions to some of the most challenging symptoms that people with progressive MS experience. The announcement is to mark </w:t>
                        </w:r>
                        <w:hyperlink r:id="rId4" w:history="1">
                          <w:r w:rsidRPr="005F701E">
                            <w:rPr>
                              <w:rFonts w:ascii="Calibri" w:eastAsia="Times New Roman" w:hAnsi="Calibri" w:cs="Calibri"/>
                              <w:color w:val="954F72"/>
                              <w:sz w:val="22"/>
                              <w:szCs w:val="22"/>
                              <w:u w:val="single"/>
                              <w:lang w:val="en-US" w:eastAsia="fr-FR"/>
                            </w:rPr>
                            <w:t>this year’s World MS Day</w:t>
                          </w:r>
                        </w:hyperlink>
                        <w:r w:rsidRPr="005F701E">
                          <w:rPr>
                            <w:rFonts w:ascii="Calibri" w:eastAsia="Times New Roman" w:hAnsi="Calibri" w:cs="Calibri"/>
                            <w:color w:val="000000"/>
                            <w:sz w:val="22"/>
                            <w:szCs w:val="22"/>
                            <w:lang w:val="en-US" w:eastAsia="fr-FR"/>
                          </w:rPr>
                          <w:t>, a campaign to raise awareness and accelerate progress in ending MS.</w:t>
                        </w:r>
                      </w:p>
                      <w:p w14:paraId="0E9503C7"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4"/>
                            <w:szCs w:val="4"/>
                            <w:lang w:val="en-US" w:eastAsia="fr-FR"/>
                          </w:rPr>
                          <w:t> </w:t>
                        </w:r>
                      </w:p>
                      <w:p w14:paraId="05BE99A0"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 xml:space="preserve">“This effort is an important investment in making daily life better for people with progressive MS,” stated Dr. Ruth Ann </w:t>
                        </w:r>
                        <w:proofErr w:type="spellStart"/>
                        <w:r w:rsidRPr="005F701E">
                          <w:rPr>
                            <w:rFonts w:ascii="Calibri" w:eastAsia="Times New Roman" w:hAnsi="Calibri" w:cs="Calibri"/>
                            <w:color w:val="000000"/>
                            <w:sz w:val="22"/>
                            <w:szCs w:val="22"/>
                            <w:lang w:val="en-US" w:eastAsia="fr-FR"/>
                          </w:rPr>
                          <w:t>Marrie</w:t>
                        </w:r>
                        <w:proofErr w:type="spellEnd"/>
                        <w:r w:rsidRPr="005F701E">
                          <w:rPr>
                            <w:rFonts w:ascii="Calibri" w:eastAsia="Times New Roman" w:hAnsi="Calibri" w:cs="Calibri"/>
                            <w:color w:val="000000"/>
                            <w:sz w:val="22"/>
                            <w:szCs w:val="22"/>
                            <w:lang w:val="en-US" w:eastAsia="fr-FR"/>
                          </w:rPr>
                          <w:t>, Vice Chair of the Alliance Scientific Steering Committee. “Research is needed to identify, develop, test and implement effective therapies that improve well-being and can be widely adopted.”</w:t>
                        </w:r>
                      </w:p>
                      <w:p w14:paraId="7C1848AB"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4"/>
                            <w:szCs w:val="4"/>
                            <w:lang w:val="en-US" w:eastAsia="fr-FR"/>
                          </w:rPr>
                          <w:t> </w:t>
                        </w:r>
                      </w:p>
                      <w:p w14:paraId="4AA8B524"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The Alliance has completed a Request for Applications as the first stage of a research pipeline in which successful awards will demonstrate a strong expert team that offers the potential for novel therapeutic interventions or outcomes for progressive MS and has the potential to culminate with a large randomized controlled study (Stage 2) and implementation (Stage 3) for adoption into the larger healthcare system. Over 53 applications from 11 countries were received prior to the May 15 deadline. The projects focus on one or more of the following symptoms: fatigue, impairment of mobility and upper limb function, pain, and cognitive impairment.</w:t>
                        </w:r>
                      </w:p>
                      <w:p w14:paraId="453A0B02"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4"/>
                            <w:szCs w:val="4"/>
                            <w:lang w:val="en-US" w:eastAsia="fr-FR"/>
                          </w:rPr>
                          <w:t> </w:t>
                        </w:r>
                      </w:p>
                      <w:p w14:paraId="5EC518E7"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“Often the hardest part of living with MS are the things that people don’t see. The debilitating fatigue that overwhelms you or the cognitive impairment where you can’t remember the question that your husband just asked you. Having answers to these challenges would be a game-changer in improving the lives of people with MS,” said Marie Vaillant, a member of the Alliance Scientific Steering Committee and a person living with MS.</w:t>
                        </w:r>
                      </w:p>
                      <w:p w14:paraId="4A593334"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 </w:t>
                        </w:r>
                      </w:p>
                      <w:p w14:paraId="5B0E3133"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color w:val="000000"/>
                            <w:sz w:val="32"/>
                            <w:szCs w:val="32"/>
                            <w:lang w:val="en-US" w:eastAsia="fr-FR"/>
                          </w:rPr>
                          <w:t>Join Us for the 15 June Alliance Global Webcast</w:t>
                        </w:r>
                      </w:p>
                      <w:p w14:paraId="4A824D2A" w14:textId="323D4028" w:rsidR="005F701E" w:rsidRPr="005F701E" w:rsidRDefault="005F701E" w:rsidP="005F701E">
                        <w:pPr>
                          <w:rPr>
                            <w:rFonts w:ascii="Calibri" w:eastAsia="Times New Roman" w:hAnsi="Calibri" w:cs="Calibri"/>
                            <w:sz w:val="22"/>
                            <w:szCs w:val="22"/>
                            <w:lang w:eastAsia="fr-FR"/>
                          </w:rPr>
                        </w:pPr>
                        <w:r w:rsidRPr="005F701E">
                          <w:rPr>
                            <w:rFonts w:ascii="Calibri" w:eastAsia="Times New Roman" w:hAnsi="Calibri" w:cs="Calibri"/>
                            <w:color w:val="000000"/>
                            <w:sz w:val="22"/>
                            <w:szCs w:val="22"/>
                            <w:lang w:eastAsia="fr-FR"/>
                          </w:rPr>
                          <w:fldChar w:fldCharType="begin"/>
                        </w:r>
                        <w:r w:rsidRPr="005F701E">
                          <w:rPr>
                            <w:rFonts w:ascii="Calibri" w:eastAsia="Times New Roman" w:hAnsi="Calibri" w:cs="Calibri"/>
                            <w:color w:val="000000"/>
                            <w:sz w:val="22"/>
                            <w:szCs w:val="22"/>
                            <w:lang w:eastAsia="fr-FR"/>
                          </w:rPr>
                          <w:instrText xml:space="preserve"> INCLUDEPICTURE "cid:image002.jpg@01D99530.14944350" \* MERGEFORMATINET </w:instrText>
                        </w:r>
                        <w:r w:rsidRPr="005F701E">
                          <w:rPr>
                            <w:rFonts w:ascii="Calibri" w:eastAsia="Times New Roman" w:hAnsi="Calibri" w:cs="Calibri"/>
                            <w:color w:val="000000"/>
                            <w:sz w:val="22"/>
                            <w:szCs w:val="22"/>
                            <w:lang w:eastAsia="fr-FR"/>
                          </w:rPr>
                          <w:fldChar w:fldCharType="separate"/>
                        </w:r>
                        <w:r w:rsidRPr="005F701E">
                          <w:rPr>
                            <w:rFonts w:ascii="Calibri" w:eastAsia="Times New Roman" w:hAnsi="Calibri" w:cs="Calibri"/>
                            <w:noProof/>
                            <w:color w:val="000000"/>
                            <w:sz w:val="22"/>
                            <w:szCs w:val="22"/>
                            <w:lang w:eastAsia="fr-FR"/>
                          </w:rPr>
                          <mc:AlternateContent>
                            <mc:Choice Requires="wps">
                              <w:drawing>
                                <wp:inline distT="0" distB="0" distL="0" distR="0" wp14:anchorId="1CDDC62A" wp14:editId="0140E927">
                                  <wp:extent cx="302260" cy="302260"/>
                                  <wp:effectExtent l="0" t="0" r="0" b="0"/>
                                  <wp:docPr id="2136872936" name="Rectangl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5FF44" id="Rectangle 2" o:spid="_x0000_s1026" alt="A picture containing text&#10;&#10;Description automatically generate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5F701E">
                          <w:rPr>
                            <w:rFonts w:ascii="Calibri" w:eastAsia="Times New Roman" w:hAnsi="Calibri" w:cs="Calibri"/>
                            <w:color w:val="000000"/>
                            <w:sz w:val="22"/>
                            <w:szCs w:val="22"/>
                            <w:lang w:eastAsia="fr-FR"/>
                          </w:rPr>
                          <w:fldChar w:fldCharType="end"/>
                        </w:r>
                      </w:p>
                      <w:p w14:paraId="03D723B8"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4"/>
                            <w:szCs w:val="4"/>
                            <w:lang w:val="en-US" w:eastAsia="fr-FR"/>
                          </w:rPr>
                          <w:t> </w:t>
                        </w:r>
                      </w:p>
                      <w:p w14:paraId="6F820D0D"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color w:val="000000"/>
                            <w:sz w:val="22"/>
                            <w:szCs w:val="22"/>
                            <w:lang w:val="en-US" w:eastAsia="fr-FR"/>
                          </w:rPr>
                          <w:t>Register Now:  </w:t>
                        </w:r>
                        <w:bookmarkStart w:id="0" w:name="x__Hlk63254038"/>
                        <w:bookmarkEnd w:id="0"/>
                        <w:r w:rsidRPr="005F701E">
                          <w:rPr>
                            <w:rFonts w:ascii="Calibri" w:eastAsia="Times New Roman" w:hAnsi="Calibri" w:cs="Calibri"/>
                            <w:color w:val="000000"/>
                            <w:sz w:val="22"/>
                            <w:szCs w:val="22"/>
                            <w:lang w:eastAsia="fr-FR"/>
                          </w:rPr>
                          <w:fldChar w:fldCharType="begin"/>
                        </w:r>
                        <w:r w:rsidRPr="005F701E">
                          <w:rPr>
                            <w:rFonts w:ascii="Calibri" w:eastAsia="Times New Roman" w:hAnsi="Calibri" w:cs="Calibri"/>
                            <w:color w:val="000000"/>
                            <w:sz w:val="22"/>
                            <w:szCs w:val="22"/>
                            <w:lang w:val="en-US" w:eastAsia="fr-FR"/>
                          </w:rPr>
                          <w:instrText>HYPERLINK "http://www.msif.org/progressiveMSwebcast"</w:instrText>
                        </w:r>
                        <w:r w:rsidRPr="005F701E">
                          <w:rPr>
                            <w:rFonts w:ascii="Calibri" w:eastAsia="Times New Roman" w:hAnsi="Calibri" w:cs="Calibri"/>
                            <w:color w:val="000000"/>
                            <w:sz w:val="22"/>
                            <w:szCs w:val="22"/>
                            <w:lang w:eastAsia="fr-FR"/>
                          </w:rPr>
                        </w:r>
                        <w:r w:rsidRPr="005F701E">
                          <w:rPr>
                            <w:rFonts w:ascii="Calibri" w:eastAsia="Times New Roman" w:hAnsi="Calibri" w:cs="Calibri"/>
                            <w:color w:val="000000"/>
                            <w:sz w:val="22"/>
                            <w:szCs w:val="22"/>
                            <w:lang w:eastAsia="fr-FR"/>
                          </w:rPr>
                          <w:fldChar w:fldCharType="separate"/>
                        </w:r>
                        <w:r w:rsidRPr="005F701E">
                          <w:rPr>
                            <w:rFonts w:ascii="Calibri" w:eastAsia="Times New Roman" w:hAnsi="Calibri" w:cs="Calibri"/>
                            <w:color w:val="954F72"/>
                            <w:sz w:val="22"/>
                            <w:szCs w:val="22"/>
                            <w:u w:val="single"/>
                            <w:lang w:val="en-US" w:eastAsia="fr-FR"/>
                          </w:rPr>
                          <w:t>www.msif.org/progressiveMSwebcast</w:t>
                        </w:r>
                        <w:r w:rsidRPr="005F701E">
                          <w:rPr>
                            <w:rFonts w:ascii="Calibri" w:eastAsia="Times New Roman" w:hAnsi="Calibri" w:cs="Calibri"/>
                            <w:color w:val="000000"/>
                            <w:sz w:val="22"/>
                            <w:szCs w:val="22"/>
                            <w:lang w:eastAsia="fr-FR"/>
                          </w:rPr>
                          <w:fldChar w:fldCharType="end"/>
                        </w:r>
                        <w:r w:rsidRPr="005F701E">
                          <w:rPr>
                            <w:rFonts w:ascii="Calibri" w:eastAsia="Times New Roman" w:hAnsi="Calibri" w:cs="Calibri"/>
                            <w:color w:val="000000"/>
                            <w:sz w:val="22"/>
                            <w:szCs w:val="22"/>
                            <w:u w:val="single"/>
                            <w:lang w:val="en-US" w:eastAsia="fr-FR"/>
                          </w:rPr>
                          <w:t>/</w:t>
                        </w:r>
                      </w:p>
                      <w:p w14:paraId="6B3BA94D"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i/>
                            <w:iCs/>
                            <w:color w:val="000000"/>
                            <w:sz w:val="22"/>
                            <w:szCs w:val="22"/>
                            <w:lang w:val="en-US" w:eastAsia="fr-FR"/>
                          </w:rPr>
                          <w:t xml:space="preserve">Thursday, 15 </w:t>
                        </w:r>
                        <w:proofErr w:type="gramStart"/>
                        <w:r w:rsidRPr="005F701E">
                          <w:rPr>
                            <w:rFonts w:ascii="Calibri" w:eastAsia="Times New Roman" w:hAnsi="Calibri" w:cs="Calibri"/>
                            <w:b/>
                            <w:bCs/>
                            <w:i/>
                            <w:iCs/>
                            <w:color w:val="000000"/>
                            <w:sz w:val="22"/>
                            <w:szCs w:val="22"/>
                            <w:lang w:val="en-US" w:eastAsia="fr-FR"/>
                          </w:rPr>
                          <w:t>June,</w:t>
                        </w:r>
                        <w:proofErr w:type="gramEnd"/>
                        <w:r w:rsidRPr="005F701E">
                          <w:rPr>
                            <w:rFonts w:ascii="Calibri" w:eastAsia="Times New Roman" w:hAnsi="Calibri" w:cs="Calibri"/>
                            <w:b/>
                            <w:bCs/>
                            <w:i/>
                            <w:iCs/>
                            <w:color w:val="000000"/>
                            <w:sz w:val="22"/>
                            <w:szCs w:val="22"/>
                            <w:lang w:val="en-US" w:eastAsia="fr-FR"/>
                          </w:rPr>
                          <w:t xml:space="preserve"> 2023 at 11:00 am EDT, 4:00 pm BST, 5:00 pm CEST</w:t>
                        </w:r>
                      </w:p>
                      <w:p w14:paraId="6ADAD94B"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b/>
                            <w:bCs/>
                            <w:i/>
                            <w:iCs/>
                            <w:color w:val="000000"/>
                            <w:sz w:val="4"/>
                            <w:szCs w:val="4"/>
                            <w:lang w:val="en-US" w:eastAsia="fr-FR"/>
                          </w:rPr>
                          <w:t> </w:t>
                        </w:r>
                      </w:p>
                      <w:p w14:paraId="68CF08DB"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t>Don’t miss this breaking news webcast on progressive MS research live from the International Progressive MS Alliance Scientific Congress in Vienna, Austria. Hear the results from 17 innovative research projects funded by the Alliance focused on unraveling the mystery of progression and identifying new targets for treatments that will ultimately slow or stop progression. A panel of international MS experts will share findings and insights that not only inspire hope but demonstrate real progress in ending progressive MS.</w:t>
                        </w:r>
                      </w:p>
                      <w:p w14:paraId="6993A813"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4"/>
                            <w:szCs w:val="4"/>
                            <w:lang w:val="en-US" w:eastAsia="fr-FR"/>
                          </w:rPr>
                          <w:t> </w:t>
                        </w:r>
                      </w:p>
                      <w:p w14:paraId="60A3DE08"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US" w:eastAsia="fr-FR"/>
                          </w:rPr>
                          <w:lastRenderedPageBreak/>
                          <w:t xml:space="preserve">The webcast will feature: Professor Bob Fox, MD, Chair of the Alliance Scientific Steering Committee from the Cleveland Clinic, U.S.; Professor Laura </w:t>
                        </w:r>
                        <w:proofErr w:type="spellStart"/>
                        <w:r w:rsidRPr="005F701E">
                          <w:rPr>
                            <w:rFonts w:ascii="Calibri" w:eastAsia="Times New Roman" w:hAnsi="Calibri" w:cs="Calibri"/>
                            <w:color w:val="000000"/>
                            <w:sz w:val="22"/>
                            <w:szCs w:val="22"/>
                            <w:lang w:val="en-US" w:eastAsia="fr-FR"/>
                          </w:rPr>
                          <w:t>Airas</w:t>
                        </w:r>
                        <w:proofErr w:type="spellEnd"/>
                        <w:r w:rsidRPr="005F701E">
                          <w:rPr>
                            <w:rFonts w:ascii="Calibri" w:eastAsia="Times New Roman" w:hAnsi="Calibri" w:cs="Calibri"/>
                            <w:color w:val="000000"/>
                            <w:sz w:val="22"/>
                            <w:szCs w:val="22"/>
                            <w:lang w:val="en-US" w:eastAsia="fr-FR"/>
                          </w:rPr>
                          <w:t>, a clinician-scientist from Turku University, Finland; and Dr. Jessica Fletcher, a researcher from the </w:t>
                        </w:r>
                        <w:r w:rsidRPr="005F701E">
                          <w:rPr>
                            <w:rFonts w:ascii="Calibri" w:eastAsia="Times New Roman" w:hAnsi="Calibri" w:cs="Calibri"/>
                            <w:color w:val="000000"/>
                            <w:sz w:val="22"/>
                            <w:szCs w:val="22"/>
                            <w:lang w:val="en-AU" w:eastAsia="fr-FR"/>
                          </w:rPr>
                          <w:t xml:space="preserve">University of Tasmania, Australia. Jon Strum, former member of the Alliance Scientific Steering Committee and the host of the </w:t>
                        </w:r>
                        <w:proofErr w:type="spellStart"/>
                        <w:r w:rsidRPr="005F701E">
                          <w:rPr>
                            <w:rFonts w:ascii="Calibri" w:eastAsia="Times New Roman" w:hAnsi="Calibri" w:cs="Calibri"/>
                            <w:color w:val="000000"/>
                            <w:sz w:val="22"/>
                            <w:szCs w:val="22"/>
                            <w:lang w:val="en-AU" w:eastAsia="fr-FR"/>
                          </w:rPr>
                          <w:t>RealTalk</w:t>
                        </w:r>
                        <w:proofErr w:type="spellEnd"/>
                        <w:r w:rsidRPr="005F701E">
                          <w:rPr>
                            <w:rFonts w:ascii="Calibri" w:eastAsia="Times New Roman" w:hAnsi="Calibri" w:cs="Calibri"/>
                            <w:color w:val="000000"/>
                            <w:sz w:val="22"/>
                            <w:szCs w:val="22"/>
                            <w:lang w:val="en-AU" w:eastAsia="fr-FR"/>
                          </w:rPr>
                          <w:t xml:space="preserve"> MS podcast series will facilitate the session.</w:t>
                        </w:r>
                      </w:p>
                      <w:p w14:paraId="0989BFC9"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4"/>
                            <w:szCs w:val="4"/>
                            <w:lang w:val="en-AU" w:eastAsia="fr-FR"/>
                          </w:rPr>
                          <w:t> </w:t>
                        </w:r>
                      </w:p>
                      <w:p w14:paraId="048F448F" w14:textId="77777777" w:rsidR="005F701E" w:rsidRPr="005F701E" w:rsidRDefault="005F701E" w:rsidP="005F701E">
                        <w:pPr>
                          <w:rPr>
                            <w:rFonts w:ascii="Calibri" w:eastAsia="Times New Roman" w:hAnsi="Calibri" w:cs="Calibri"/>
                            <w:sz w:val="22"/>
                            <w:szCs w:val="22"/>
                            <w:lang w:val="en-US" w:eastAsia="fr-FR"/>
                          </w:rPr>
                        </w:pPr>
                        <w:r w:rsidRPr="005F701E">
                          <w:rPr>
                            <w:rFonts w:ascii="Calibri" w:eastAsia="Times New Roman" w:hAnsi="Calibri" w:cs="Calibri"/>
                            <w:color w:val="000000"/>
                            <w:sz w:val="22"/>
                            <w:szCs w:val="22"/>
                            <w:lang w:val="en-AU" w:eastAsia="fr-FR"/>
                          </w:rPr>
                          <w:t xml:space="preserve">The webcast will be streamed from the Facebook pages of the MS International Federation, MS Canada, the MS Society </w:t>
                        </w:r>
                        <w:proofErr w:type="gramStart"/>
                        <w:r w:rsidRPr="005F701E">
                          <w:rPr>
                            <w:rFonts w:ascii="Calibri" w:eastAsia="Times New Roman" w:hAnsi="Calibri" w:cs="Calibri"/>
                            <w:color w:val="000000"/>
                            <w:sz w:val="22"/>
                            <w:szCs w:val="22"/>
                            <w:lang w:val="en-AU" w:eastAsia="fr-FR"/>
                          </w:rPr>
                          <w:t>UK</w:t>
                        </w:r>
                        <w:proofErr w:type="gramEnd"/>
                        <w:r w:rsidRPr="005F701E">
                          <w:rPr>
                            <w:rFonts w:ascii="Calibri" w:eastAsia="Times New Roman" w:hAnsi="Calibri" w:cs="Calibri"/>
                            <w:color w:val="000000"/>
                            <w:sz w:val="22"/>
                            <w:szCs w:val="22"/>
                            <w:lang w:val="en-AU" w:eastAsia="fr-FR"/>
                          </w:rPr>
                          <w:t xml:space="preserve"> and the National MS Society. It can also be seen on the MS International Federation YouTube channel.</w:t>
                        </w:r>
                      </w:p>
                    </w:tc>
                  </w:tr>
                  <w:tr w:rsidR="005F701E" w:rsidRPr="005F701E" w14:paraId="715C77D5" w14:textId="77777777">
                    <w:trPr>
                      <w:tblCellSpacing w:w="0" w:type="dxa"/>
                    </w:trPr>
                    <w:tc>
                      <w:tcPr>
                        <w:tcW w:w="0" w:type="auto"/>
                        <w:shd w:val="clear" w:color="auto" w:fill="FFFFFF"/>
                        <w:vAlign w:val="center"/>
                        <w:hideMark/>
                      </w:tcPr>
                      <w:p w14:paraId="1ECE749D" w14:textId="556B3B67" w:rsidR="005F701E" w:rsidRPr="005F701E" w:rsidRDefault="005F701E" w:rsidP="005F701E">
                        <w:pPr>
                          <w:rPr>
                            <w:rFonts w:ascii="Calibri" w:eastAsia="Times New Roman" w:hAnsi="Calibri" w:cs="Calibri"/>
                            <w:sz w:val="22"/>
                            <w:szCs w:val="22"/>
                            <w:lang w:eastAsia="fr-FR"/>
                          </w:rPr>
                        </w:pPr>
                        <w:r w:rsidRPr="005F701E">
                          <w:rPr>
                            <w:rFonts w:ascii="Calibri" w:eastAsia="Times New Roman" w:hAnsi="Calibri" w:cs="Calibri"/>
                            <w:noProof/>
                            <w:color w:val="000000"/>
                            <w:sz w:val="22"/>
                            <w:szCs w:val="22"/>
                            <w:lang w:eastAsia="fr-FR"/>
                          </w:rPr>
                          <w:lastRenderedPageBreak/>
                          <mc:AlternateContent>
                            <mc:Choice Requires="wps">
                              <w:drawing>
                                <wp:inline distT="0" distB="0" distL="0" distR="0" wp14:anchorId="0307F79A" wp14:editId="0C13247B">
                                  <wp:extent cx="302260" cy="302260"/>
                                  <wp:effectExtent l="0" t="0" r="0" b="0"/>
                                  <wp:docPr id="1846104933" name="Rectangle 1" descr="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F769D" id="Rectangle 1" o:spid="_x0000_s1026" alt="image0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p>
                    </w:tc>
                  </w:tr>
                </w:tbl>
                <w:p w14:paraId="036E2D8E" w14:textId="77777777" w:rsidR="005F701E" w:rsidRPr="005F701E" w:rsidRDefault="005F701E" w:rsidP="005F701E">
                  <w:pPr>
                    <w:rPr>
                      <w:rFonts w:ascii="Times New Roman" w:eastAsia="Times New Roman" w:hAnsi="Times New Roman" w:cs="Times New Roman"/>
                      <w:lang w:eastAsia="fr-FR"/>
                    </w:rPr>
                  </w:pPr>
                </w:p>
              </w:tc>
            </w:tr>
          </w:tbl>
          <w:p w14:paraId="1B8C50B2" w14:textId="77777777" w:rsidR="005F701E" w:rsidRPr="005F701E" w:rsidRDefault="005F701E" w:rsidP="005F701E">
            <w:pPr>
              <w:jc w:val="center"/>
              <w:rPr>
                <w:rFonts w:ascii="ArialMT" w:eastAsia="Times New Roman" w:hAnsi="ArialMT" w:cs="Times New Roman"/>
                <w:lang w:eastAsia="fr-FR"/>
              </w:rPr>
            </w:pPr>
          </w:p>
        </w:tc>
      </w:tr>
    </w:tbl>
    <w:p w14:paraId="200D5C1A" w14:textId="77777777" w:rsidR="00017BF2" w:rsidRDefault="00017BF2"/>
    <w:sectPr w:rsidR="0001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1E"/>
    <w:rsid w:val="00017BF2"/>
    <w:rsid w:val="005F701E"/>
    <w:rsid w:val="00DC5BA3"/>
    <w:rsid w:val="00FD2B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D003"/>
  <w15:chartTrackingRefBased/>
  <w15:docId w15:val="{755B9ADC-CA51-9944-B8A0-1D71CAB0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xmsonormal">
    <w:name w:val="xxxmsonormal"/>
    <w:basedOn w:val="Normal"/>
    <w:rsid w:val="005F701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F701E"/>
  </w:style>
  <w:style w:type="paragraph" w:customStyle="1" w:styleId="xxxmsoplaintext">
    <w:name w:val="xxxmsoplaintext"/>
    <w:basedOn w:val="Normal"/>
    <w:rsid w:val="005F701E"/>
    <w:pPr>
      <w:spacing w:before="100" w:beforeAutospacing="1" w:after="100" w:afterAutospacing="1"/>
    </w:pPr>
    <w:rPr>
      <w:rFonts w:ascii="Times New Roman" w:eastAsia="Times New Roman" w:hAnsi="Times New Roman" w:cs="Times New Roman"/>
      <w:lang w:eastAsia="fr-FR"/>
    </w:rPr>
  </w:style>
  <w:style w:type="paragraph" w:customStyle="1" w:styleId="xxmsonormal">
    <w:name w:val="xxmsonormal"/>
    <w:basedOn w:val="Normal"/>
    <w:rsid w:val="005F701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F7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msday.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Vincke</dc:creator>
  <cp:keywords/>
  <dc:description/>
  <cp:lastModifiedBy>Isabelle Vincke</cp:lastModifiedBy>
  <cp:revision>2</cp:revision>
  <dcterms:created xsi:type="dcterms:W3CDTF">2023-07-14T10:04:00Z</dcterms:created>
  <dcterms:modified xsi:type="dcterms:W3CDTF">2023-07-14T10:07:00Z</dcterms:modified>
</cp:coreProperties>
</file>